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5"/>
        <w:gridCol w:w="396"/>
        <w:gridCol w:w="3874"/>
        <w:gridCol w:w="4072"/>
      </w:tblGrid>
      <w:tr w:rsidR="00EF7A94" w:rsidRPr="00171039" w14:paraId="006F0CF7" w14:textId="77777777" w:rsidTr="00B46956">
        <w:trPr>
          <w:trHeight w:val="1284"/>
        </w:trPr>
        <w:tc>
          <w:tcPr>
            <w:tcW w:w="1101" w:type="dxa"/>
            <w:gridSpan w:val="2"/>
            <w:noWrap/>
            <w:hideMark/>
          </w:tcPr>
          <w:p w14:paraId="0169840D" w14:textId="77777777" w:rsidR="00EF7A94" w:rsidRPr="00171039" w:rsidRDefault="00EF7A94">
            <w:pPr>
              <w:rPr>
                <w:rFonts w:ascii="Times New Roman" w:hAnsi="Times New Roman" w:cs="Times New Roman"/>
              </w:rPr>
            </w:pPr>
            <w:r w:rsidRPr="00171039">
              <w:rPr>
                <w:rFonts w:ascii="Times New Roman" w:hAnsi="Times New Roman" w:cs="Times New Roman"/>
                <w:noProof/>
                <w:lang w:eastAsia="hr-HR"/>
              </w:rPr>
              <w:drawing>
                <wp:anchor distT="0" distB="0" distL="114300" distR="114300" simplePos="0" relativeHeight="251662336" behindDoc="0" locked="0" layoutInCell="1" allowOverlap="1" wp14:anchorId="59062229" wp14:editId="5B597594">
                  <wp:simplePos x="0" y="0"/>
                  <wp:positionH relativeFrom="column">
                    <wp:posOffset>81280</wp:posOffset>
                  </wp:positionH>
                  <wp:positionV relativeFrom="paragraph">
                    <wp:posOffset>74929</wp:posOffset>
                  </wp:positionV>
                  <wp:extent cx="276225" cy="371475"/>
                  <wp:effectExtent l="0" t="0" r="9525" b="9525"/>
                  <wp:wrapNone/>
                  <wp:docPr id="4" name="Slika 4"/>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3"/>
            </w:tblGrid>
            <w:tr w:rsidR="00EF7A94" w:rsidRPr="00171039" w14:paraId="1A2F2A03" w14:textId="77777777" w:rsidTr="00B46956">
              <w:trPr>
                <w:trHeight w:val="1284"/>
                <w:tblCellSpacing w:w="0" w:type="dxa"/>
              </w:trPr>
              <w:tc>
                <w:tcPr>
                  <w:tcW w:w="883" w:type="dxa"/>
                  <w:tcBorders>
                    <w:top w:val="nil"/>
                    <w:left w:val="nil"/>
                    <w:bottom w:val="nil"/>
                    <w:right w:val="nil"/>
                  </w:tcBorders>
                  <w:shd w:val="clear" w:color="auto" w:fill="auto"/>
                  <w:vAlign w:val="center"/>
                  <w:hideMark/>
                </w:tcPr>
                <w:p w14:paraId="47FB9926" w14:textId="77777777" w:rsidR="00EF7A94" w:rsidRPr="00171039" w:rsidRDefault="00EF7A94">
                  <w:pPr>
                    <w:rPr>
                      <w:rFonts w:ascii="Times New Roman" w:hAnsi="Times New Roman" w:cs="Times New Roman"/>
                    </w:rPr>
                  </w:pPr>
                  <w:bookmarkStart w:id="0" w:name="RANGE!A1:C15"/>
                  <w:bookmarkEnd w:id="0"/>
                  <w:r w:rsidRPr="00171039">
                    <w:rPr>
                      <w:rFonts w:ascii="Times New Roman" w:hAnsi="Times New Roman" w:cs="Times New Roman"/>
                      <w:noProof/>
                      <w:lang w:eastAsia="hr-HR"/>
                    </w:rPr>
                    <w:drawing>
                      <wp:anchor distT="0" distB="0" distL="114300" distR="114300" simplePos="0" relativeHeight="251663360" behindDoc="0" locked="0" layoutInCell="1" allowOverlap="1" wp14:anchorId="1200A42E" wp14:editId="3DA74464">
                        <wp:simplePos x="0" y="0"/>
                        <wp:positionH relativeFrom="column">
                          <wp:posOffset>285115</wp:posOffset>
                        </wp:positionH>
                        <wp:positionV relativeFrom="paragraph">
                          <wp:posOffset>154305</wp:posOffset>
                        </wp:positionV>
                        <wp:extent cx="247650" cy="304800"/>
                        <wp:effectExtent l="0" t="0" r="0" b="0"/>
                        <wp:wrapNone/>
                        <wp:docPr id="5" name="Slika 5" descr="http://web.zpr.fer.hr/ergonomija/2004/hendija/slike/grb_zg.gif"/>
                        <wp:cNvGraphicFramePr/>
                        <a:graphic xmlns:a="http://schemas.openxmlformats.org/drawingml/2006/main">
                          <a:graphicData uri="http://schemas.openxmlformats.org/drawingml/2006/picture">
                            <pic:pic xmlns:pic="http://schemas.openxmlformats.org/drawingml/2006/picture">
                              <pic:nvPicPr>
                                <pic:cNvPr id="5" name="irc_mi" descr="http://web.zpr.fer.hr/ergonomija/2004/hendija/slike/grb_zg.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1E6B86EA" w14:textId="77777777" w:rsidR="00EF7A94" w:rsidRPr="00171039" w:rsidRDefault="00EF7A94">
            <w:pPr>
              <w:rPr>
                <w:rFonts w:ascii="Times New Roman" w:hAnsi="Times New Roman" w:cs="Times New Roman"/>
              </w:rPr>
            </w:pPr>
          </w:p>
        </w:tc>
        <w:tc>
          <w:tcPr>
            <w:tcW w:w="7946" w:type="dxa"/>
            <w:gridSpan w:val="2"/>
            <w:hideMark/>
          </w:tcPr>
          <w:p w14:paraId="1E237FF9" w14:textId="77777777" w:rsidR="00EF7A94" w:rsidRPr="00EF7A94" w:rsidRDefault="00EF7A94">
            <w:pPr>
              <w:rPr>
                <w:rFonts w:ascii="Times New Roman" w:hAnsi="Times New Roman" w:cs="Times New Roman"/>
                <w:iCs/>
              </w:rPr>
            </w:pPr>
            <w:r w:rsidRPr="00EF7A94">
              <w:rPr>
                <w:rFonts w:ascii="Times New Roman" w:hAnsi="Times New Roman" w:cs="Times New Roman"/>
                <w:iCs/>
              </w:rPr>
              <w:t xml:space="preserve">REPUBLIKA HRVATSKA                            </w:t>
            </w:r>
          </w:p>
          <w:p w14:paraId="52F13970" w14:textId="77777777" w:rsidR="00EF7A94" w:rsidRPr="00EF7A94" w:rsidRDefault="00EF7A94">
            <w:pPr>
              <w:rPr>
                <w:rFonts w:ascii="Times New Roman" w:hAnsi="Times New Roman" w:cs="Times New Roman"/>
                <w:iCs/>
              </w:rPr>
            </w:pPr>
            <w:r w:rsidRPr="00EF7A94">
              <w:rPr>
                <w:rFonts w:ascii="Times New Roman" w:hAnsi="Times New Roman" w:cs="Times New Roman"/>
                <w:b/>
                <w:bCs/>
                <w:iCs/>
              </w:rPr>
              <w:t xml:space="preserve">GRAD ZAGREB         </w:t>
            </w:r>
            <w:r w:rsidRPr="00EF7A94">
              <w:rPr>
                <w:rFonts w:ascii="Times New Roman" w:hAnsi="Times New Roman" w:cs="Times New Roman"/>
                <w:iCs/>
              </w:rPr>
              <w:t xml:space="preserve">                                      </w:t>
            </w:r>
          </w:p>
          <w:p w14:paraId="0B35708E" w14:textId="77777777" w:rsidR="00EF7A94" w:rsidRPr="00EF7A94" w:rsidRDefault="00EF7A94">
            <w:pPr>
              <w:rPr>
                <w:rFonts w:ascii="Times New Roman" w:hAnsi="Times New Roman" w:cs="Times New Roman"/>
                <w:iCs/>
              </w:rPr>
            </w:pPr>
            <w:r w:rsidRPr="00EF7A94">
              <w:rPr>
                <w:rFonts w:ascii="Times New Roman" w:hAnsi="Times New Roman" w:cs="Times New Roman"/>
                <w:iCs/>
              </w:rPr>
              <w:t>URED ZA JAVNU NABAVU</w:t>
            </w:r>
          </w:p>
          <w:p w14:paraId="1C2BBC86" w14:textId="77777777" w:rsidR="00E73B51" w:rsidRDefault="00E73B51">
            <w:pPr>
              <w:rPr>
                <w:rFonts w:ascii="Times New Roman" w:hAnsi="Times New Roman" w:cs="Times New Roman"/>
                <w:iCs/>
              </w:rPr>
            </w:pPr>
          </w:p>
          <w:p w14:paraId="54EC185A" w14:textId="1AB4DDC4" w:rsidR="00EF7A94" w:rsidRPr="00171039" w:rsidRDefault="00EF7A94" w:rsidP="00EB3280">
            <w:pPr>
              <w:rPr>
                <w:rFonts w:ascii="Times New Roman" w:hAnsi="Times New Roman" w:cs="Times New Roman"/>
                <w:i/>
                <w:iCs/>
              </w:rPr>
            </w:pPr>
            <w:r w:rsidRPr="00EF7A94">
              <w:rPr>
                <w:rFonts w:ascii="Times New Roman" w:hAnsi="Times New Roman" w:cs="Times New Roman"/>
                <w:iCs/>
              </w:rPr>
              <w:t>U Zagrebu,</w:t>
            </w:r>
            <w:r w:rsidR="00503EDE">
              <w:rPr>
                <w:rFonts w:ascii="Times New Roman" w:hAnsi="Times New Roman" w:cs="Times New Roman"/>
                <w:iCs/>
              </w:rPr>
              <w:t xml:space="preserve"> </w:t>
            </w:r>
            <w:r w:rsidR="00EB3280">
              <w:rPr>
                <w:rFonts w:ascii="Times New Roman" w:hAnsi="Times New Roman" w:cs="Times New Roman"/>
                <w:iCs/>
              </w:rPr>
              <w:t>10</w:t>
            </w:r>
            <w:bookmarkStart w:id="1" w:name="_GoBack"/>
            <w:bookmarkEnd w:id="1"/>
            <w:r w:rsidR="00EB1383">
              <w:rPr>
                <w:rFonts w:ascii="Times New Roman" w:hAnsi="Times New Roman" w:cs="Times New Roman"/>
                <w:iCs/>
              </w:rPr>
              <w:t>.</w:t>
            </w:r>
            <w:r w:rsidR="000E4C1A">
              <w:rPr>
                <w:rFonts w:ascii="Times New Roman" w:hAnsi="Times New Roman" w:cs="Times New Roman"/>
                <w:iCs/>
              </w:rPr>
              <w:t xml:space="preserve"> kolovoz</w:t>
            </w:r>
            <w:r w:rsidR="00E73B51">
              <w:rPr>
                <w:rFonts w:ascii="Times New Roman" w:hAnsi="Times New Roman" w:cs="Times New Roman"/>
                <w:iCs/>
              </w:rPr>
              <w:t xml:space="preserve"> 2017.</w:t>
            </w:r>
          </w:p>
        </w:tc>
      </w:tr>
      <w:tr w:rsidR="00171039" w:rsidRPr="00171039" w14:paraId="24326BBD" w14:textId="77777777" w:rsidTr="00B46956">
        <w:trPr>
          <w:trHeight w:val="1284"/>
        </w:trPr>
        <w:tc>
          <w:tcPr>
            <w:tcW w:w="9047" w:type="dxa"/>
            <w:gridSpan w:val="4"/>
            <w:vAlign w:val="center"/>
            <w:hideMark/>
          </w:tcPr>
          <w:p w14:paraId="3F511228" w14:textId="55DF61AE" w:rsidR="00A97147" w:rsidRPr="00171039" w:rsidRDefault="00105BC9" w:rsidP="008F3E79">
            <w:pPr>
              <w:jc w:val="center"/>
              <w:rPr>
                <w:rFonts w:ascii="Times New Roman" w:hAnsi="Times New Roman" w:cs="Times New Roman"/>
              </w:rPr>
            </w:pPr>
            <w:r w:rsidRPr="00105BC9">
              <w:rPr>
                <w:rFonts w:ascii="Times New Roman" w:hAnsi="Times New Roman" w:cs="Times New Roman"/>
              </w:rPr>
              <w:t>Na temelju članka 198. Zakona o javnoj nabavi (NN br. 120/2016), Grad Zagreb kao Središnje tijelo za javnu nabavu</w:t>
            </w:r>
            <w:r w:rsidR="0077467E">
              <w:rPr>
                <w:rFonts w:ascii="Times New Roman" w:hAnsi="Times New Roman" w:cs="Times New Roman"/>
              </w:rPr>
              <w:t>,</w:t>
            </w:r>
            <w:r w:rsidRPr="00105BC9">
              <w:rPr>
                <w:rFonts w:ascii="Times New Roman" w:hAnsi="Times New Roman" w:cs="Times New Roman"/>
              </w:rPr>
              <w:t xml:space="preserve"> a za </w:t>
            </w:r>
            <w:r w:rsidR="009C12ED" w:rsidRPr="009C12ED">
              <w:rPr>
                <w:rFonts w:ascii="Times New Roman" w:hAnsi="Times New Roman" w:cs="Times New Roman"/>
              </w:rPr>
              <w:t>naručitelje Zagrebački holding d.o.o., Ulica grada Vukovara 41, Zagreb</w:t>
            </w:r>
            <w:r w:rsidR="0077467E">
              <w:rPr>
                <w:rFonts w:ascii="Times New Roman" w:hAnsi="Times New Roman" w:cs="Times New Roman"/>
              </w:rPr>
              <w:t>,</w:t>
            </w:r>
            <w:r w:rsidR="0077467E" w:rsidRPr="0077467E">
              <w:rPr>
                <w:rFonts w:ascii="Times New Roman" w:hAnsi="Times New Roman" w:cs="Times New Roman"/>
              </w:rPr>
              <w:t xml:space="preserve"> </w:t>
            </w:r>
            <w:r w:rsidRPr="00105BC9">
              <w:rPr>
                <w:rFonts w:ascii="Times New Roman" w:hAnsi="Times New Roman" w:cs="Times New Roman"/>
              </w:rPr>
              <w:t>a nastavno na Nacrt Dokumentacije o nabavi za predmet nabave</w:t>
            </w:r>
            <w:r w:rsidR="00503EDE">
              <w:rPr>
                <w:rFonts w:ascii="Times New Roman" w:hAnsi="Times New Roman" w:cs="Times New Roman"/>
              </w:rPr>
              <w:t xml:space="preserve"> </w:t>
            </w:r>
            <w:r w:rsidR="003A534C" w:rsidRPr="003A534C">
              <w:rPr>
                <w:rFonts w:ascii="Times New Roman" w:eastAsia="Times New Roman" w:hAnsi="Times New Roman" w:cs="Times New Roman"/>
                <w:b/>
                <w:color w:val="000000"/>
                <w:sz w:val="24"/>
                <w:szCs w:val="24"/>
                <w:shd w:val="clear" w:color="auto" w:fill="FFFFFF"/>
                <w:lang w:eastAsia="hr-HR"/>
              </w:rPr>
              <w:t xml:space="preserve"> </w:t>
            </w:r>
            <w:r w:rsidR="008F3E79" w:rsidRPr="008F3E79">
              <w:rPr>
                <w:rFonts w:ascii="Times New Roman" w:eastAsia="Times New Roman" w:hAnsi="Times New Roman" w:cs="Times New Roman"/>
                <w:b/>
                <w:color w:val="000000"/>
                <w:sz w:val="24"/>
                <w:szCs w:val="24"/>
                <w:shd w:val="clear" w:color="auto" w:fill="FFFFFF"/>
                <w:lang w:eastAsia="hr-HR"/>
              </w:rPr>
              <w:t>Parkirni automati, evidencijski broj nabave: 2017-2678.</w:t>
            </w:r>
            <w:r w:rsidR="009C12ED" w:rsidRPr="009C12ED">
              <w:rPr>
                <w:rFonts w:ascii="Times New Roman" w:eastAsia="Times New Roman" w:hAnsi="Times New Roman" w:cs="Times New Roman"/>
                <w:b/>
                <w:color w:val="000000"/>
                <w:sz w:val="24"/>
                <w:szCs w:val="24"/>
                <w:shd w:val="clear" w:color="auto" w:fill="FFFFFF"/>
                <w:lang w:eastAsia="hr-HR"/>
              </w:rPr>
              <w:t xml:space="preserve">, </w:t>
            </w:r>
            <w:r w:rsidR="009C12ED" w:rsidRPr="009C12ED">
              <w:rPr>
                <w:rFonts w:ascii="Times New Roman" w:eastAsia="Times New Roman" w:hAnsi="Times New Roman" w:cs="Times New Roman"/>
                <w:color w:val="000000"/>
                <w:sz w:val="24"/>
                <w:szCs w:val="24"/>
                <w:shd w:val="clear" w:color="auto" w:fill="FFFFFF"/>
                <w:lang w:eastAsia="hr-HR"/>
              </w:rPr>
              <w:t>evidencijski broj nabave:</w:t>
            </w:r>
            <w:r w:rsidR="009C12ED" w:rsidRPr="009C12ED">
              <w:rPr>
                <w:rFonts w:ascii="Times New Roman" w:eastAsia="Times New Roman" w:hAnsi="Times New Roman" w:cs="Times New Roman"/>
                <w:b/>
                <w:color w:val="000000"/>
                <w:sz w:val="24"/>
                <w:szCs w:val="24"/>
                <w:shd w:val="clear" w:color="auto" w:fill="FFFFFF"/>
                <w:lang w:eastAsia="hr-HR"/>
              </w:rPr>
              <w:t xml:space="preserve"> 2017-</w:t>
            </w:r>
            <w:r w:rsidR="008F3E79">
              <w:rPr>
                <w:rFonts w:ascii="Times New Roman" w:eastAsia="Times New Roman" w:hAnsi="Times New Roman" w:cs="Times New Roman"/>
                <w:b/>
                <w:color w:val="000000"/>
                <w:sz w:val="24"/>
                <w:szCs w:val="24"/>
                <w:shd w:val="clear" w:color="auto" w:fill="FFFFFF"/>
                <w:lang w:eastAsia="hr-HR"/>
              </w:rPr>
              <w:t xml:space="preserve">2678 </w:t>
            </w:r>
            <w:r w:rsidR="008F3E79">
              <w:rPr>
                <w:rFonts w:ascii="Times New Roman" w:eastAsia="Times New Roman" w:hAnsi="Times New Roman" w:cs="Times New Roman"/>
                <w:color w:val="000000"/>
                <w:sz w:val="24"/>
                <w:szCs w:val="24"/>
                <w:shd w:val="clear" w:color="auto" w:fill="FFFFFF"/>
                <w:lang w:eastAsia="hr-HR"/>
              </w:rPr>
              <w:t>objavljuje</w:t>
            </w:r>
          </w:p>
        </w:tc>
      </w:tr>
      <w:tr w:rsidR="00171039" w:rsidRPr="00171039" w14:paraId="0DFE6D03" w14:textId="77777777" w:rsidTr="00B46956">
        <w:trPr>
          <w:trHeight w:val="707"/>
        </w:trPr>
        <w:tc>
          <w:tcPr>
            <w:tcW w:w="9047" w:type="dxa"/>
            <w:gridSpan w:val="4"/>
            <w:vAlign w:val="center"/>
            <w:hideMark/>
          </w:tcPr>
          <w:p w14:paraId="3D5C037B" w14:textId="77777777" w:rsidR="00171039" w:rsidRPr="00171039" w:rsidRDefault="00171039" w:rsidP="00171039">
            <w:pPr>
              <w:jc w:val="center"/>
              <w:rPr>
                <w:rFonts w:ascii="Times New Roman" w:hAnsi="Times New Roman" w:cs="Times New Roman"/>
                <w:b/>
                <w:bCs/>
              </w:rPr>
            </w:pPr>
            <w:r w:rsidRPr="00171039">
              <w:rPr>
                <w:rFonts w:ascii="Times New Roman" w:hAnsi="Times New Roman" w:cs="Times New Roman"/>
                <w:b/>
                <w:bCs/>
              </w:rPr>
              <w:t>Izvješće o prethodnom savjetovanju u odnosu na Nacrt Dokumentacije o nabavi</w:t>
            </w:r>
          </w:p>
        </w:tc>
      </w:tr>
      <w:tr w:rsidR="00CB72C6" w:rsidRPr="00171039" w14:paraId="52498363" w14:textId="77777777" w:rsidTr="00B46956">
        <w:trPr>
          <w:trHeight w:val="830"/>
        </w:trPr>
        <w:tc>
          <w:tcPr>
            <w:tcW w:w="705" w:type="dxa"/>
            <w:noWrap/>
            <w:vAlign w:val="center"/>
            <w:hideMark/>
          </w:tcPr>
          <w:p w14:paraId="74A8D212"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R.br.</w:t>
            </w:r>
          </w:p>
        </w:tc>
        <w:tc>
          <w:tcPr>
            <w:tcW w:w="4270" w:type="dxa"/>
            <w:gridSpan w:val="2"/>
            <w:vAlign w:val="center"/>
            <w:hideMark/>
          </w:tcPr>
          <w:p w14:paraId="0B8FEF68"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Primjedbe i prijedlozi gospodarskih subjekata</w:t>
            </w:r>
          </w:p>
        </w:tc>
        <w:tc>
          <w:tcPr>
            <w:tcW w:w="4072" w:type="dxa"/>
            <w:vAlign w:val="center"/>
            <w:hideMark/>
          </w:tcPr>
          <w:p w14:paraId="2BE02DCB"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Izvješće o prihvaćenim i neprihvaćenim primjedbama i prijedlozima</w:t>
            </w:r>
          </w:p>
        </w:tc>
      </w:tr>
      <w:tr w:rsidR="00B46956" w:rsidRPr="00171039" w14:paraId="574676E2" w14:textId="77777777" w:rsidTr="00B46956">
        <w:trPr>
          <w:trHeight w:val="985"/>
        </w:trPr>
        <w:tc>
          <w:tcPr>
            <w:tcW w:w="705" w:type="dxa"/>
            <w:noWrap/>
          </w:tcPr>
          <w:p w14:paraId="652976FA" w14:textId="0A6D9F6E" w:rsidR="00B46956" w:rsidRDefault="00B46956" w:rsidP="00EF3B04">
            <w:pPr>
              <w:rPr>
                <w:rFonts w:ascii="Times New Roman" w:hAnsi="Times New Roman" w:cs="Times New Roman"/>
              </w:rPr>
            </w:pPr>
            <w:r>
              <w:rPr>
                <w:rFonts w:ascii="Times New Roman" w:hAnsi="Times New Roman" w:cs="Times New Roman"/>
              </w:rPr>
              <w:t>1.</w:t>
            </w:r>
          </w:p>
        </w:tc>
        <w:tc>
          <w:tcPr>
            <w:tcW w:w="4270" w:type="dxa"/>
            <w:gridSpan w:val="2"/>
          </w:tcPr>
          <w:p w14:paraId="4D2D28D2" w14:textId="77777777"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1.10.      MATIČNA PLOČA:</w:t>
            </w:r>
          </w:p>
          <w:p w14:paraId="5883EF42" w14:textId="0E5F645E"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 xml:space="preserve"> matična ploča s procesorom, frekvencija radnog takta minimalno 1.5 GHz, radna memorija RAM minimalno 2 GB</w:t>
            </w:r>
          </w:p>
          <w:p w14:paraId="02C6328F" w14:textId="12DB717B"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u w:val="single"/>
                <w:lang w:eastAsia="hr-HR"/>
              </w:rPr>
              <w:t>Prijedlog: dovoljnog kapaciteta da ispuni sve specificirane zahtjeve</w:t>
            </w:r>
          </w:p>
        </w:tc>
        <w:tc>
          <w:tcPr>
            <w:tcW w:w="4072" w:type="dxa"/>
            <w:noWrap/>
          </w:tcPr>
          <w:p w14:paraId="088E5458" w14:textId="745A068C" w:rsidR="00B46956" w:rsidRPr="00171039" w:rsidRDefault="003938D3" w:rsidP="00332648">
            <w:pPr>
              <w:jc w:val="both"/>
              <w:rPr>
                <w:rFonts w:ascii="Times New Roman" w:hAnsi="Times New Roman" w:cs="Times New Roman"/>
              </w:rPr>
            </w:pPr>
            <w:r>
              <w:rPr>
                <w:rFonts w:ascii="Times New Roman" w:hAnsi="Times New Roman" w:cs="Times New Roman"/>
              </w:rPr>
              <w:t>Naručitelj je tražio minimalne karakteristike, te ostaje pri traženom.</w:t>
            </w:r>
          </w:p>
        </w:tc>
      </w:tr>
      <w:tr w:rsidR="00B46956" w:rsidRPr="00171039" w14:paraId="6CC7B50A" w14:textId="77777777" w:rsidTr="00B46956">
        <w:trPr>
          <w:trHeight w:val="1028"/>
        </w:trPr>
        <w:tc>
          <w:tcPr>
            <w:tcW w:w="705" w:type="dxa"/>
            <w:noWrap/>
          </w:tcPr>
          <w:p w14:paraId="295F3D76" w14:textId="03D0EE2B" w:rsidR="00B46956" w:rsidRPr="00171039" w:rsidRDefault="00B46956" w:rsidP="00EF3B04">
            <w:pPr>
              <w:rPr>
                <w:rFonts w:ascii="Times New Roman" w:hAnsi="Times New Roman" w:cs="Times New Roman"/>
              </w:rPr>
            </w:pPr>
            <w:r>
              <w:rPr>
                <w:rFonts w:ascii="Times New Roman" w:hAnsi="Times New Roman" w:cs="Times New Roman"/>
              </w:rPr>
              <w:t>2.</w:t>
            </w:r>
          </w:p>
        </w:tc>
        <w:tc>
          <w:tcPr>
            <w:tcW w:w="4270" w:type="dxa"/>
            <w:gridSpan w:val="2"/>
          </w:tcPr>
          <w:p w14:paraId="07AD38EB" w14:textId="77777777"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1.11.      ELEKTRONSKA BRAVA:</w:t>
            </w:r>
          </w:p>
          <w:p w14:paraId="1B6D386F" w14:textId="7AC7F6D7"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lang w:eastAsia="hr-HR"/>
              </w:rPr>
              <w:t xml:space="preserve"> elektronska brava omogućava otvaranje pretinca u kojem se nalaze izmjenjivi spremnik za kovanice pomoću elektronskog ključa. Programiranje elektronskih ključeva pomoću programske aplikacije.</w:t>
            </w:r>
          </w:p>
          <w:p w14:paraId="45C5A139" w14:textId="079D36F5" w:rsidR="00B46956" w:rsidRPr="00171039" w:rsidRDefault="00B46956" w:rsidP="00B46956">
            <w:pPr>
              <w:jc w:val="both"/>
              <w:rPr>
                <w:rFonts w:ascii="Times New Roman" w:hAnsi="Times New Roman" w:cs="Times New Roman"/>
              </w:rPr>
            </w:pPr>
            <w:r w:rsidRPr="00B46956">
              <w:rPr>
                <w:rFonts w:ascii="Calibri" w:eastAsia="Times New Roman" w:hAnsi="Calibri" w:cs="Times New Roman"/>
                <w:u w:val="single"/>
                <w:lang w:eastAsia="hr-HR"/>
              </w:rPr>
              <w:t>Prijedlog: uz mehaničke brave koje su visokog stupnja sigurnosti predlažemo da se ovaj zahtjev briše</w:t>
            </w:r>
          </w:p>
        </w:tc>
        <w:tc>
          <w:tcPr>
            <w:tcW w:w="4072" w:type="dxa"/>
            <w:noWrap/>
          </w:tcPr>
          <w:p w14:paraId="49C6DAE1" w14:textId="777AF66C" w:rsidR="00B46956" w:rsidRPr="00171039" w:rsidRDefault="007A733E" w:rsidP="00332648">
            <w:pPr>
              <w:jc w:val="both"/>
              <w:rPr>
                <w:rFonts w:ascii="Times New Roman" w:hAnsi="Times New Roman" w:cs="Times New Roman"/>
              </w:rPr>
            </w:pPr>
            <w:r>
              <w:rPr>
                <w:rFonts w:ascii="Times New Roman" w:hAnsi="Times New Roman" w:cs="Times New Roman"/>
              </w:rPr>
              <w:t>Zbog sigurnosti naručitelj ovim zahtjevom dodatno poboljšava razinu sigurnosti radnika i novca, te ostaje pri traženom.</w:t>
            </w:r>
          </w:p>
        </w:tc>
      </w:tr>
      <w:tr w:rsidR="00B46956" w:rsidRPr="00171039" w14:paraId="6A5AAC45" w14:textId="77777777" w:rsidTr="00B46956">
        <w:trPr>
          <w:trHeight w:val="866"/>
        </w:trPr>
        <w:tc>
          <w:tcPr>
            <w:tcW w:w="705" w:type="dxa"/>
            <w:noWrap/>
          </w:tcPr>
          <w:p w14:paraId="1D80D2D0" w14:textId="1BED211B" w:rsidR="00B46956" w:rsidRPr="00171039" w:rsidRDefault="00B46956" w:rsidP="00EF3B04">
            <w:pPr>
              <w:rPr>
                <w:rFonts w:ascii="Times New Roman" w:hAnsi="Times New Roman" w:cs="Times New Roman"/>
              </w:rPr>
            </w:pPr>
            <w:r>
              <w:rPr>
                <w:rFonts w:ascii="Times New Roman" w:hAnsi="Times New Roman" w:cs="Times New Roman"/>
              </w:rPr>
              <w:t>3.</w:t>
            </w:r>
          </w:p>
        </w:tc>
        <w:tc>
          <w:tcPr>
            <w:tcW w:w="4270" w:type="dxa"/>
            <w:gridSpan w:val="2"/>
          </w:tcPr>
          <w:p w14:paraId="7A6F26FD" w14:textId="77777777"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1.13.      UGRAĐEN BARKOD ČITAČ:</w:t>
            </w:r>
          </w:p>
          <w:p w14:paraId="1537B917" w14:textId="31280A0A"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lang w:eastAsia="hr-HR"/>
              </w:rPr>
              <w:t xml:space="preserve"> ugrađeni čitač omogućava čitanje 1D, 2D i QR barkod zapisa. Mogućnost čitanja podataka s DPK – dnevne parkirališne karte kako bi se moglo izvršiti plaćanje iste.</w:t>
            </w:r>
          </w:p>
          <w:p w14:paraId="15C46087" w14:textId="77777777"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u w:val="single"/>
                <w:lang w:eastAsia="hr-HR"/>
              </w:rPr>
              <w:t>Prijedlog: smatramo da ovaj zahtjev favorizira određenog ponuditelja pa predlažemo da se isti briše</w:t>
            </w:r>
          </w:p>
          <w:p w14:paraId="7224498E" w14:textId="77777777" w:rsidR="00B46956" w:rsidRPr="00171039" w:rsidRDefault="00B46956" w:rsidP="0013732E">
            <w:pPr>
              <w:jc w:val="both"/>
              <w:rPr>
                <w:rFonts w:ascii="Times New Roman" w:hAnsi="Times New Roman" w:cs="Times New Roman"/>
              </w:rPr>
            </w:pPr>
          </w:p>
        </w:tc>
        <w:tc>
          <w:tcPr>
            <w:tcW w:w="4072" w:type="dxa"/>
            <w:noWrap/>
          </w:tcPr>
          <w:p w14:paraId="7526BE2D" w14:textId="7CC930FF" w:rsidR="00B46956" w:rsidRPr="00171039" w:rsidRDefault="007A733E" w:rsidP="009B3731">
            <w:pPr>
              <w:jc w:val="both"/>
              <w:rPr>
                <w:rFonts w:ascii="Times New Roman" w:hAnsi="Times New Roman" w:cs="Times New Roman"/>
              </w:rPr>
            </w:pPr>
            <w:r>
              <w:rPr>
                <w:rFonts w:ascii="Times New Roman" w:hAnsi="Times New Roman" w:cs="Times New Roman"/>
              </w:rPr>
              <w:t xml:space="preserve">Naručitelj ostaje pri traženom zbog bržeg procesuiranja i plaćanja istih kao i budućih proširenja usluga. </w:t>
            </w:r>
            <w:r w:rsidR="00826296">
              <w:rPr>
                <w:rFonts w:ascii="Times New Roman" w:hAnsi="Times New Roman" w:cs="Times New Roman"/>
              </w:rPr>
              <w:t xml:space="preserve">Također na tržištu postoji više </w:t>
            </w:r>
            <w:r w:rsidR="009B3731">
              <w:rPr>
                <w:rFonts w:ascii="Times New Roman" w:hAnsi="Times New Roman" w:cs="Times New Roman"/>
              </w:rPr>
              <w:t>proizvoda koji zadovoljavaju traženi uvjet.</w:t>
            </w:r>
          </w:p>
        </w:tc>
      </w:tr>
      <w:tr w:rsidR="00B46956" w:rsidRPr="00171039" w14:paraId="0C5408CD" w14:textId="77777777" w:rsidTr="00B46956">
        <w:trPr>
          <w:trHeight w:val="2052"/>
        </w:trPr>
        <w:tc>
          <w:tcPr>
            <w:tcW w:w="705" w:type="dxa"/>
            <w:noWrap/>
          </w:tcPr>
          <w:p w14:paraId="2CE7CFF1" w14:textId="0D1E16A6" w:rsidR="00B46956" w:rsidRPr="00171039" w:rsidRDefault="00B46956" w:rsidP="00EF3B04">
            <w:pPr>
              <w:rPr>
                <w:rFonts w:ascii="Times New Roman" w:hAnsi="Times New Roman" w:cs="Times New Roman"/>
              </w:rPr>
            </w:pPr>
            <w:r>
              <w:rPr>
                <w:rFonts w:ascii="Times New Roman" w:hAnsi="Times New Roman" w:cs="Times New Roman"/>
              </w:rPr>
              <w:t>4.</w:t>
            </w:r>
          </w:p>
        </w:tc>
        <w:tc>
          <w:tcPr>
            <w:tcW w:w="4270" w:type="dxa"/>
            <w:gridSpan w:val="2"/>
          </w:tcPr>
          <w:p w14:paraId="49816A93" w14:textId="77777777"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1.14.      KOMUNIKACIJSKI MODEM:</w:t>
            </w:r>
          </w:p>
          <w:p w14:paraId="04E25768" w14:textId="055537C0"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lang w:eastAsia="hr-HR"/>
              </w:rPr>
              <w:t xml:space="preserve"> ugrađen min. 4G komunikacijski modem s  antenom za slanje podataka iz automata prema nadzornom centru i centralnoj serverskoj programskoj aplikaciji.</w:t>
            </w:r>
          </w:p>
          <w:p w14:paraId="7A3FE7A0" w14:textId="77777777"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u w:val="single"/>
                <w:lang w:eastAsia="hr-HR"/>
              </w:rPr>
              <w:t>Prijedlog: ugrađen min. 3G komunikacijski modul</w:t>
            </w:r>
          </w:p>
          <w:p w14:paraId="54212D89" w14:textId="77777777" w:rsidR="00B46956" w:rsidRPr="00171039" w:rsidRDefault="00B46956" w:rsidP="0013732E">
            <w:pPr>
              <w:jc w:val="both"/>
              <w:rPr>
                <w:rFonts w:ascii="Times New Roman" w:hAnsi="Times New Roman" w:cs="Times New Roman"/>
              </w:rPr>
            </w:pPr>
          </w:p>
        </w:tc>
        <w:tc>
          <w:tcPr>
            <w:tcW w:w="4072" w:type="dxa"/>
            <w:noWrap/>
          </w:tcPr>
          <w:p w14:paraId="17DCCA92" w14:textId="2BFC86C8" w:rsidR="00B46956" w:rsidRPr="00171039" w:rsidRDefault="007672C8" w:rsidP="00332648">
            <w:pPr>
              <w:jc w:val="both"/>
              <w:rPr>
                <w:rFonts w:ascii="Times New Roman" w:hAnsi="Times New Roman" w:cs="Times New Roman"/>
              </w:rPr>
            </w:pPr>
            <w:r>
              <w:rPr>
                <w:rFonts w:ascii="Times New Roman" w:hAnsi="Times New Roman" w:cs="Times New Roman"/>
              </w:rPr>
              <w:t>Naručitelj prihvaća</w:t>
            </w:r>
            <w:r w:rsidR="003938D3">
              <w:rPr>
                <w:rFonts w:ascii="Times New Roman" w:hAnsi="Times New Roman" w:cs="Times New Roman"/>
              </w:rPr>
              <w:t xml:space="preserve"> navedenu</w:t>
            </w:r>
            <w:r>
              <w:rPr>
                <w:rFonts w:ascii="Times New Roman" w:hAnsi="Times New Roman" w:cs="Times New Roman"/>
              </w:rPr>
              <w:t xml:space="preserve"> primjedbu, te će</w:t>
            </w:r>
            <w:r w:rsidR="007A733E">
              <w:rPr>
                <w:rFonts w:ascii="Times New Roman" w:hAnsi="Times New Roman" w:cs="Times New Roman"/>
              </w:rPr>
              <w:t xml:space="preserve"> izmijeniti</w:t>
            </w:r>
            <w:r>
              <w:rPr>
                <w:rFonts w:ascii="Times New Roman" w:hAnsi="Times New Roman" w:cs="Times New Roman"/>
              </w:rPr>
              <w:t xml:space="preserve"> dokumentaciju</w:t>
            </w:r>
            <w:r w:rsidR="007A733E">
              <w:rPr>
                <w:rFonts w:ascii="Times New Roman" w:hAnsi="Times New Roman" w:cs="Times New Roman"/>
              </w:rPr>
              <w:t>.</w:t>
            </w:r>
          </w:p>
        </w:tc>
      </w:tr>
      <w:tr w:rsidR="00B46956" w:rsidRPr="00171039" w14:paraId="215EB0D3" w14:textId="77777777" w:rsidTr="00B46956">
        <w:trPr>
          <w:trHeight w:val="1561"/>
        </w:trPr>
        <w:tc>
          <w:tcPr>
            <w:tcW w:w="705" w:type="dxa"/>
            <w:noWrap/>
          </w:tcPr>
          <w:p w14:paraId="332DAF60" w14:textId="7A01A5FF" w:rsidR="00B46956" w:rsidRPr="00171039" w:rsidRDefault="00B46956" w:rsidP="00EF3B04">
            <w:pPr>
              <w:rPr>
                <w:rFonts w:ascii="Times New Roman" w:hAnsi="Times New Roman" w:cs="Times New Roman"/>
              </w:rPr>
            </w:pPr>
            <w:r>
              <w:rPr>
                <w:rFonts w:ascii="Times New Roman" w:hAnsi="Times New Roman" w:cs="Times New Roman"/>
              </w:rPr>
              <w:t>5.</w:t>
            </w:r>
          </w:p>
        </w:tc>
        <w:tc>
          <w:tcPr>
            <w:tcW w:w="4270" w:type="dxa"/>
            <w:gridSpan w:val="2"/>
          </w:tcPr>
          <w:p w14:paraId="1887C0F8" w14:textId="77777777"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1.18.      čitač bankovnih kartica:</w:t>
            </w:r>
          </w:p>
          <w:p w14:paraId="2B02B0E7" w14:textId="7B8A016E"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lang w:eastAsia="hr-HR"/>
              </w:rPr>
              <w:t xml:space="preserve"> Ugrađen s mogućnošću čitanje kartica s magnetskom trakom i kontaktnim čipom te procesiranja istih. Podržani minimalno sigurnosni standardi: EMVCo L1 i L2 čitači kartica i PCI DSS 3.1</w:t>
            </w:r>
          </w:p>
          <w:p w14:paraId="7AADB855" w14:textId="40A25C79" w:rsidR="00B46956" w:rsidRPr="00171039" w:rsidRDefault="00B46956" w:rsidP="00B46956">
            <w:pPr>
              <w:jc w:val="both"/>
              <w:rPr>
                <w:rFonts w:ascii="Times New Roman" w:hAnsi="Times New Roman" w:cs="Times New Roman"/>
              </w:rPr>
            </w:pPr>
            <w:r w:rsidRPr="00B46956">
              <w:rPr>
                <w:rFonts w:ascii="Calibri" w:eastAsia="Times New Roman" w:hAnsi="Calibri" w:cs="Times New Roman"/>
                <w:u w:val="single"/>
                <w:lang w:eastAsia="hr-HR"/>
              </w:rPr>
              <w:t xml:space="preserve">Prijedlog: kako je od 1/1/2016 sukladno </w:t>
            </w:r>
            <w:r w:rsidRPr="00B46956">
              <w:rPr>
                <w:rFonts w:ascii="Calibri" w:eastAsia="Times New Roman" w:hAnsi="Calibri" w:cs="Times New Roman"/>
                <w:u w:val="single"/>
                <w:lang w:eastAsia="hr-HR"/>
              </w:rPr>
              <w:lastRenderedPageBreak/>
              <w:t>mandatima globalnih platnih shema obavezna instalacija "contactless capable" uređaja na svim novim prodajnim mjestima prdlažem da se mogućnost čitanja magnetske trake briše.</w:t>
            </w:r>
          </w:p>
        </w:tc>
        <w:tc>
          <w:tcPr>
            <w:tcW w:w="4072" w:type="dxa"/>
            <w:noWrap/>
          </w:tcPr>
          <w:p w14:paraId="75859980" w14:textId="485A1D89" w:rsidR="00B46956" w:rsidRPr="00171039" w:rsidRDefault="007A733E" w:rsidP="00332648">
            <w:pPr>
              <w:jc w:val="both"/>
              <w:rPr>
                <w:rFonts w:ascii="Times New Roman" w:hAnsi="Times New Roman" w:cs="Times New Roman"/>
              </w:rPr>
            </w:pPr>
            <w:r>
              <w:rPr>
                <w:rFonts w:ascii="Times New Roman" w:hAnsi="Times New Roman" w:cs="Times New Roman"/>
              </w:rPr>
              <w:lastRenderedPageBreak/>
              <w:t>Naručitelj ostaje pri navedenom jer želi omogućiti korisnicima plaćanje svim kreditnim karticama.</w:t>
            </w:r>
          </w:p>
        </w:tc>
      </w:tr>
      <w:tr w:rsidR="00B46956" w:rsidRPr="00171039" w14:paraId="5E78EB79" w14:textId="77777777" w:rsidTr="00B46956">
        <w:trPr>
          <w:trHeight w:val="2052"/>
        </w:trPr>
        <w:tc>
          <w:tcPr>
            <w:tcW w:w="705" w:type="dxa"/>
            <w:noWrap/>
          </w:tcPr>
          <w:p w14:paraId="510273F9" w14:textId="31914FC1" w:rsidR="00B46956" w:rsidRPr="00171039" w:rsidRDefault="00B46956" w:rsidP="00EF3B04">
            <w:pPr>
              <w:rPr>
                <w:rFonts w:ascii="Times New Roman" w:hAnsi="Times New Roman" w:cs="Times New Roman"/>
              </w:rPr>
            </w:pPr>
            <w:r>
              <w:rPr>
                <w:rFonts w:ascii="Times New Roman" w:hAnsi="Times New Roman" w:cs="Times New Roman"/>
              </w:rPr>
              <w:lastRenderedPageBreak/>
              <w:t>6.</w:t>
            </w:r>
          </w:p>
        </w:tc>
        <w:tc>
          <w:tcPr>
            <w:tcW w:w="4270" w:type="dxa"/>
            <w:gridSpan w:val="2"/>
          </w:tcPr>
          <w:p w14:paraId="4C7F6AC0" w14:textId="77777777"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1.16.      KORISNIČKI ZASLON:</w:t>
            </w:r>
          </w:p>
          <w:p w14:paraId="4F2F29C1" w14:textId="3217E672"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lang w:eastAsia="hr-HR"/>
              </w:rPr>
              <w:t xml:space="preserve"> LCD TFT zaslon u boji s pozadinskim osvjetljenjem, osjetljiv na dodir, min. dijagonala 23cm, min. rezolucija zaslona 1024 x 768 točaka. Na zaslonu je moguće prikazati virtualnu alfanumeričku tipkovnicu koja podržava unos  registarske oznake vozila kod plaćanja parkirališne naknade Broj reg. oznake se ispisuje na parkirališnoj karti. Korisnički zaslon treba omogućiti nadogradnju i prikaz raznih budućih servisa za korisnike: ispis kupona s popustima, prikaz turističkih i drugih informacija, prodaja raznih vrsta karata (npr. karata za javni prijevoz) i sl.</w:t>
            </w:r>
          </w:p>
          <w:p w14:paraId="6627FC4F" w14:textId="62C74CD5" w:rsidR="00B46956" w:rsidRPr="00171039" w:rsidRDefault="00B46956" w:rsidP="00B46956">
            <w:pPr>
              <w:jc w:val="both"/>
              <w:rPr>
                <w:rFonts w:ascii="Times New Roman" w:hAnsi="Times New Roman" w:cs="Times New Roman"/>
              </w:rPr>
            </w:pPr>
            <w:r w:rsidRPr="00B46956">
              <w:rPr>
                <w:rFonts w:ascii="Calibri" w:eastAsia="Times New Roman" w:hAnsi="Calibri" w:cs="Times New Roman"/>
                <w:u w:val="single"/>
                <w:lang w:eastAsia="hr-HR"/>
              </w:rPr>
              <w:t>Prijedlog: smatramo da ovaj zahtjev favorizira određenog ponuditelja pa predlažemo da se isti izmjeni slijedećim – tipkovnica za unos broja DPK ili registarske oznake i zasloni za upute korisnicima i prikaz tarife.</w:t>
            </w:r>
            <w:r w:rsidRPr="00B46956">
              <w:rPr>
                <w:rFonts w:ascii="Calibri" w:eastAsia="Times New Roman" w:hAnsi="Calibri" w:cs="Times New Roman"/>
                <w:lang w:eastAsia="hr-HR"/>
              </w:rPr>
              <w:t> </w:t>
            </w:r>
          </w:p>
        </w:tc>
        <w:tc>
          <w:tcPr>
            <w:tcW w:w="4072" w:type="dxa"/>
            <w:noWrap/>
          </w:tcPr>
          <w:p w14:paraId="27074F46" w14:textId="5539B0D3" w:rsidR="00B46956" w:rsidRPr="00171039" w:rsidRDefault="007672C8" w:rsidP="009B3731">
            <w:pPr>
              <w:jc w:val="both"/>
              <w:rPr>
                <w:rFonts w:ascii="Times New Roman" w:hAnsi="Times New Roman" w:cs="Times New Roman"/>
              </w:rPr>
            </w:pPr>
            <w:r>
              <w:rPr>
                <w:rFonts w:ascii="Times New Roman" w:hAnsi="Times New Roman" w:cs="Times New Roman"/>
              </w:rPr>
              <w:t xml:space="preserve">Naručitelj prihvaća primjedbu, </w:t>
            </w:r>
            <w:r w:rsidR="009B3731">
              <w:rPr>
                <w:rFonts w:ascii="Times New Roman" w:hAnsi="Times New Roman" w:cs="Times New Roman"/>
              </w:rPr>
              <w:t>te će</w:t>
            </w:r>
            <w:r>
              <w:rPr>
                <w:rFonts w:ascii="Times New Roman" w:hAnsi="Times New Roman" w:cs="Times New Roman"/>
              </w:rPr>
              <w:t xml:space="preserve"> </w:t>
            </w:r>
            <w:r w:rsidR="009B3731">
              <w:rPr>
                <w:rFonts w:ascii="Times New Roman" w:hAnsi="Times New Roman" w:cs="Times New Roman"/>
              </w:rPr>
              <w:t xml:space="preserve">proširiti </w:t>
            </w:r>
            <w:r>
              <w:rPr>
                <w:rFonts w:ascii="Times New Roman" w:hAnsi="Times New Roman" w:cs="Times New Roman"/>
              </w:rPr>
              <w:t xml:space="preserve"> dokumentaciju</w:t>
            </w:r>
            <w:r w:rsidR="009B3731">
              <w:rPr>
                <w:rFonts w:ascii="Times New Roman" w:hAnsi="Times New Roman" w:cs="Times New Roman"/>
              </w:rPr>
              <w:t xml:space="preserve"> na način da se može nuditi zasebno tipkovnica i zaslon ili zaslon osjetljiv na dodir.</w:t>
            </w:r>
          </w:p>
        </w:tc>
      </w:tr>
      <w:tr w:rsidR="00B46956" w:rsidRPr="00171039" w14:paraId="579A6F0B" w14:textId="77777777" w:rsidTr="00B46956">
        <w:trPr>
          <w:trHeight w:val="2052"/>
        </w:trPr>
        <w:tc>
          <w:tcPr>
            <w:tcW w:w="705" w:type="dxa"/>
            <w:noWrap/>
          </w:tcPr>
          <w:p w14:paraId="00DD2DE8" w14:textId="4D3A3A84" w:rsidR="00B46956" w:rsidRPr="00171039" w:rsidRDefault="00B46956" w:rsidP="00EF3B04">
            <w:pPr>
              <w:rPr>
                <w:rFonts w:ascii="Times New Roman" w:hAnsi="Times New Roman" w:cs="Times New Roman"/>
              </w:rPr>
            </w:pPr>
            <w:r>
              <w:rPr>
                <w:rFonts w:ascii="Times New Roman" w:hAnsi="Times New Roman" w:cs="Times New Roman"/>
              </w:rPr>
              <w:t>7.</w:t>
            </w:r>
          </w:p>
        </w:tc>
        <w:tc>
          <w:tcPr>
            <w:tcW w:w="4270" w:type="dxa"/>
            <w:gridSpan w:val="2"/>
          </w:tcPr>
          <w:p w14:paraId="4AD35AF8" w14:textId="77777777"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1.20.      čitač bankovnih kartica:</w:t>
            </w:r>
          </w:p>
          <w:p w14:paraId="2955B197" w14:textId="0CFC284A" w:rsidR="00B46956" w:rsidRPr="00B46956" w:rsidRDefault="00B46956" w:rsidP="00B46956">
            <w:pPr>
              <w:rPr>
                <w:rFonts w:ascii="Calibri" w:eastAsia="Times New Roman" w:hAnsi="Calibri" w:cs="Times New Roman"/>
                <w:lang w:eastAsia="hr-HR"/>
              </w:rPr>
            </w:pPr>
            <w:r w:rsidRPr="00B46956">
              <w:rPr>
                <w:rFonts w:ascii="Calibri" w:eastAsia="Times New Roman" w:hAnsi="Calibri" w:cs="Times New Roman"/>
                <w:lang w:eastAsia="hr-HR"/>
              </w:rPr>
              <w:t xml:space="preserve"> Procesiranje i naplata sljedećih bankovnih kartica: VISA/VISAELECTRON, MASTERCARD,MAESTRO, AMERICAN EXPRESS, DINERS</w:t>
            </w:r>
          </w:p>
          <w:p w14:paraId="4036C9A4" w14:textId="6596FEF0"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u w:val="single"/>
                <w:lang w:eastAsia="hr-HR"/>
              </w:rPr>
              <w:t>Prijedlog: nastavno na prijedlog pod točkom 1.18 predlažemo da se procesiranje DINERS bankovne kartice briše jer ista koristi magnetsku traku.</w:t>
            </w:r>
          </w:p>
        </w:tc>
        <w:tc>
          <w:tcPr>
            <w:tcW w:w="4072" w:type="dxa"/>
            <w:noWrap/>
          </w:tcPr>
          <w:p w14:paraId="10E26070" w14:textId="4A4DB903" w:rsidR="00B46956" w:rsidRPr="00171039" w:rsidRDefault="003938D3" w:rsidP="00332648">
            <w:pPr>
              <w:jc w:val="both"/>
              <w:rPr>
                <w:rFonts w:ascii="Times New Roman" w:hAnsi="Times New Roman" w:cs="Times New Roman"/>
              </w:rPr>
            </w:pPr>
            <w:r>
              <w:rPr>
                <w:rFonts w:ascii="Times New Roman" w:hAnsi="Times New Roman" w:cs="Times New Roman"/>
              </w:rPr>
              <w:t>Naručitelj ostaje pri navedenom jer želi omogućiti korisnicima plaćanje svim kreditnim karticama.</w:t>
            </w:r>
          </w:p>
        </w:tc>
      </w:tr>
      <w:tr w:rsidR="00B46956" w:rsidRPr="00171039" w14:paraId="7947E05B" w14:textId="77777777" w:rsidTr="00B46956">
        <w:trPr>
          <w:trHeight w:val="2052"/>
        </w:trPr>
        <w:tc>
          <w:tcPr>
            <w:tcW w:w="705" w:type="dxa"/>
            <w:noWrap/>
          </w:tcPr>
          <w:p w14:paraId="58820191" w14:textId="31F135E1" w:rsidR="00B46956" w:rsidRPr="00171039" w:rsidRDefault="00B46956" w:rsidP="00EF3B04">
            <w:pPr>
              <w:rPr>
                <w:rFonts w:ascii="Times New Roman" w:hAnsi="Times New Roman" w:cs="Times New Roman"/>
              </w:rPr>
            </w:pPr>
            <w:r>
              <w:rPr>
                <w:rFonts w:ascii="Times New Roman" w:hAnsi="Times New Roman" w:cs="Times New Roman"/>
              </w:rPr>
              <w:t>8.</w:t>
            </w:r>
          </w:p>
        </w:tc>
        <w:tc>
          <w:tcPr>
            <w:tcW w:w="4270" w:type="dxa"/>
            <w:gridSpan w:val="2"/>
          </w:tcPr>
          <w:p w14:paraId="5A45FE6B" w14:textId="77777777" w:rsidR="00B46956" w:rsidRPr="00B46956" w:rsidRDefault="00B46956" w:rsidP="00B46956">
            <w:pPr>
              <w:jc w:val="both"/>
              <w:rPr>
                <w:rFonts w:ascii="Calibri" w:eastAsia="Times New Roman" w:hAnsi="Calibri" w:cs="Times New Roman"/>
                <w:lang w:eastAsia="hr-HR"/>
              </w:rPr>
            </w:pPr>
            <w:r w:rsidRPr="00B46956">
              <w:rPr>
                <w:rFonts w:ascii="Calibri" w:eastAsia="Times New Roman" w:hAnsi="Calibri" w:cs="Times New Roman"/>
                <w:lang w:eastAsia="hr-HR"/>
              </w:rPr>
              <w:t>2.19.      Plaćanje dnevnih parkirališnih karata (DPK), unosom broja otisnutom u papirnom obliku ili pomoću skeniranja barkoda</w:t>
            </w:r>
          </w:p>
          <w:p w14:paraId="0E82EF92" w14:textId="6CBF22B7" w:rsidR="00B46956" w:rsidRPr="00171039" w:rsidRDefault="00B46956" w:rsidP="00B46956">
            <w:pPr>
              <w:jc w:val="both"/>
              <w:rPr>
                <w:rFonts w:ascii="Times New Roman" w:hAnsi="Times New Roman" w:cs="Times New Roman"/>
              </w:rPr>
            </w:pPr>
            <w:r w:rsidRPr="00B46956">
              <w:rPr>
                <w:rFonts w:ascii="Calibri" w:eastAsia="Times New Roman" w:hAnsi="Calibri" w:cs="Times New Roman"/>
                <w:u w:val="single"/>
                <w:lang w:eastAsia="hr-HR"/>
              </w:rPr>
              <w:t>Prijedlog: nastavno na prijedlog pod točkom 1.13 predlažemo da se „pomoću skeniranja barkoda“ briše.</w:t>
            </w:r>
          </w:p>
        </w:tc>
        <w:tc>
          <w:tcPr>
            <w:tcW w:w="4072" w:type="dxa"/>
            <w:noWrap/>
          </w:tcPr>
          <w:p w14:paraId="502D69FD" w14:textId="5F0B4051" w:rsidR="00B46956" w:rsidRPr="00171039" w:rsidRDefault="007A733E" w:rsidP="00332648">
            <w:pPr>
              <w:jc w:val="both"/>
              <w:rPr>
                <w:rFonts w:ascii="Times New Roman" w:hAnsi="Times New Roman" w:cs="Times New Roman"/>
              </w:rPr>
            </w:pPr>
            <w:r>
              <w:rPr>
                <w:rFonts w:ascii="Times New Roman" w:hAnsi="Times New Roman" w:cs="Times New Roman"/>
              </w:rPr>
              <w:t>Naručitelj ostaje pri traženom zbog bržeg procesuiranja i plaćanja isti, kao i možebitnih greška korisnika pri ručnom unosu.</w:t>
            </w:r>
          </w:p>
        </w:tc>
      </w:tr>
    </w:tbl>
    <w:p w14:paraId="3EADF169" w14:textId="088993C0" w:rsidR="00472AF2" w:rsidRPr="00171039" w:rsidRDefault="00472AF2" w:rsidP="0077467E">
      <w:pPr>
        <w:rPr>
          <w:rFonts w:ascii="Times New Roman" w:hAnsi="Times New Roman" w:cs="Times New Roman"/>
        </w:rPr>
      </w:pPr>
    </w:p>
    <w:sectPr w:rsidR="00472AF2" w:rsidRPr="00171039" w:rsidSect="00D80DD1">
      <w:pgSz w:w="11906" w:h="16838"/>
      <w:pgMar w:top="119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1B"/>
    <w:multiLevelType w:val="hybridMultilevel"/>
    <w:tmpl w:val="87F06ACA"/>
    <w:lvl w:ilvl="0" w:tplc="C0EA87F0">
      <w:start w:val="1"/>
      <w:numFmt w:val="decimal"/>
      <w:lvlText w:val="%1."/>
      <w:lvlJc w:val="left"/>
      <w:pPr>
        <w:ind w:left="720" w:hanging="360"/>
      </w:pPr>
      <w:rPr>
        <w:rFonts w:ascii="Minion Pro" w:eastAsia="Calibri" w:hAnsi="Minion Pro" w:hint="default"/>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391C32AF"/>
    <w:multiLevelType w:val="hybridMultilevel"/>
    <w:tmpl w:val="2D30DA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7568787A"/>
    <w:multiLevelType w:val="hybridMultilevel"/>
    <w:tmpl w:val="1076E2A0"/>
    <w:lvl w:ilvl="0" w:tplc="EB9424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97"/>
    <w:rsid w:val="000722A4"/>
    <w:rsid w:val="000E4C1A"/>
    <w:rsid w:val="00105680"/>
    <w:rsid w:val="00105BC9"/>
    <w:rsid w:val="0013732E"/>
    <w:rsid w:val="00171039"/>
    <w:rsid w:val="001809D0"/>
    <w:rsid w:val="001B6D8C"/>
    <w:rsid w:val="001E5BC2"/>
    <w:rsid w:val="001F68D9"/>
    <w:rsid w:val="00253143"/>
    <w:rsid w:val="002D0EDC"/>
    <w:rsid w:val="00332648"/>
    <w:rsid w:val="0034058B"/>
    <w:rsid w:val="00370170"/>
    <w:rsid w:val="003938D3"/>
    <w:rsid w:val="003A534C"/>
    <w:rsid w:val="003B2DF1"/>
    <w:rsid w:val="00472AF2"/>
    <w:rsid w:val="0047630F"/>
    <w:rsid w:val="004D3F26"/>
    <w:rsid w:val="00503EDE"/>
    <w:rsid w:val="00505E77"/>
    <w:rsid w:val="00516340"/>
    <w:rsid w:val="0052157A"/>
    <w:rsid w:val="0055023F"/>
    <w:rsid w:val="005E331E"/>
    <w:rsid w:val="006B026B"/>
    <w:rsid w:val="007672C8"/>
    <w:rsid w:val="0077467E"/>
    <w:rsid w:val="007A733E"/>
    <w:rsid w:val="00826296"/>
    <w:rsid w:val="00884D64"/>
    <w:rsid w:val="008F3E79"/>
    <w:rsid w:val="009B3731"/>
    <w:rsid w:val="009C12ED"/>
    <w:rsid w:val="009C2A0D"/>
    <w:rsid w:val="00A864F3"/>
    <w:rsid w:val="00A97147"/>
    <w:rsid w:val="00AA1821"/>
    <w:rsid w:val="00B46956"/>
    <w:rsid w:val="00B875C8"/>
    <w:rsid w:val="00BB019E"/>
    <w:rsid w:val="00BB5B97"/>
    <w:rsid w:val="00C111BF"/>
    <w:rsid w:val="00CB72C6"/>
    <w:rsid w:val="00CC2C4B"/>
    <w:rsid w:val="00CD079B"/>
    <w:rsid w:val="00CD58DB"/>
    <w:rsid w:val="00CD6B24"/>
    <w:rsid w:val="00D80DD1"/>
    <w:rsid w:val="00DE6D5D"/>
    <w:rsid w:val="00E641F7"/>
    <w:rsid w:val="00E73B51"/>
    <w:rsid w:val="00E752FF"/>
    <w:rsid w:val="00EA03A0"/>
    <w:rsid w:val="00EA7AF9"/>
    <w:rsid w:val="00EB1383"/>
    <w:rsid w:val="00EB3280"/>
    <w:rsid w:val="00EF3B04"/>
    <w:rsid w:val="00EF7A94"/>
    <w:rsid w:val="00F4087E"/>
    <w:rsid w:val="00FA4839"/>
    <w:rsid w:val="00FB0D8F"/>
    <w:rsid w:val="00FD2CE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370">
      <w:bodyDiv w:val="1"/>
      <w:marLeft w:val="0"/>
      <w:marRight w:val="0"/>
      <w:marTop w:val="0"/>
      <w:marBottom w:val="0"/>
      <w:divBdr>
        <w:top w:val="none" w:sz="0" w:space="0" w:color="auto"/>
        <w:left w:val="none" w:sz="0" w:space="0" w:color="auto"/>
        <w:bottom w:val="none" w:sz="0" w:space="0" w:color="auto"/>
        <w:right w:val="none" w:sz="0" w:space="0" w:color="auto"/>
      </w:divBdr>
    </w:div>
    <w:div w:id="45489982">
      <w:bodyDiv w:val="1"/>
      <w:marLeft w:val="0"/>
      <w:marRight w:val="0"/>
      <w:marTop w:val="0"/>
      <w:marBottom w:val="0"/>
      <w:divBdr>
        <w:top w:val="none" w:sz="0" w:space="0" w:color="auto"/>
        <w:left w:val="none" w:sz="0" w:space="0" w:color="auto"/>
        <w:bottom w:val="none" w:sz="0" w:space="0" w:color="auto"/>
        <w:right w:val="none" w:sz="0" w:space="0" w:color="auto"/>
      </w:divBdr>
      <w:divsChild>
        <w:div w:id="528492550">
          <w:marLeft w:val="0"/>
          <w:marRight w:val="0"/>
          <w:marTop w:val="0"/>
          <w:marBottom w:val="0"/>
          <w:divBdr>
            <w:top w:val="none" w:sz="0" w:space="0" w:color="auto"/>
            <w:left w:val="none" w:sz="0" w:space="0" w:color="auto"/>
            <w:bottom w:val="none" w:sz="0" w:space="0" w:color="auto"/>
            <w:right w:val="none" w:sz="0" w:space="0" w:color="auto"/>
          </w:divBdr>
        </w:div>
      </w:divsChild>
    </w:div>
    <w:div w:id="117066914">
      <w:bodyDiv w:val="1"/>
      <w:marLeft w:val="0"/>
      <w:marRight w:val="0"/>
      <w:marTop w:val="0"/>
      <w:marBottom w:val="0"/>
      <w:divBdr>
        <w:top w:val="none" w:sz="0" w:space="0" w:color="auto"/>
        <w:left w:val="none" w:sz="0" w:space="0" w:color="auto"/>
        <w:bottom w:val="none" w:sz="0" w:space="0" w:color="auto"/>
        <w:right w:val="none" w:sz="0" w:space="0" w:color="auto"/>
      </w:divBdr>
      <w:divsChild>
        <w:div w:id="2117016334">
          <w:marLeft w:val="0"/>
          <w:marRight w:val="0"/>
          <w:marTop w:val="0"/>
          <w:marBottom w:val="0"/>
          <w:divBdr>
            <w:top w:val="none" w:sz="0" w:space="0" w:color="auto"/>
            <w:left w:val="none" w:sz="0" w:space="0" w:color="auto"/>
            <w:bottom w:val="none" w:sz="0" w:space="0" w:color="auto"/>
            <w:right w:val="none" w:sz="0" w:space="0" w:color="auto"/>
          </w:divBdr>
        </w:div>
      </w:divsChild>
    </w:div>
    <w:div w:id="125466507">
      <w:bodyDiv w:val="1"/>
      <w:marLeft w:val="0"/>
      <w:marRight w:val="0"/>
      <w:marTop w:val="0"/>
      <w:marBottom w:val="0"/>
      <w:divBdr>
        <w:top w:val="none" w:sz="0" w:space="0" w:color="auto"/>
        <w:left w:val="none" w:sz="0" w:space="0" w:color="auto"/>
        <w:bottom w:val="none" w:sz="0" w:space="0" w:color="auto"/>
        <w:right w:val="none" w:sz="0" w:space="0" w:color="auto"/>
      </w:divBdr>
    </w:div>
    <w:div w:id="393090117">
      <w:bodyDiv w:val="1"/>
      <w:marLeft w:val="0"/>
      <w:marRight w:val="0"/>
      <w:marTop w:val="0"/>
      <w:marBottom w:val="0"/>
      <w:divBdr>
        <w:top w:val="none" w:sz="0" w:space="0" w:color="auto"/>
        <w:left w:val="none" w:sz="0" w:space="0" w:color="auto"/>
        <w:bottom w:val="none" w:sz="0" w:space="0" w:color="auto"/>
        <w:right w:val="none" w:sz="0" w:space="0" w:color="auto"/>
      </w:divBdr>
    </w:div>
    <w:div w:id="460684504">
      <w:bodyDiv w:val="1"/>
      <w:marLeft w:val="0"/>
      <w:marRight w:val="0"/>
      <w:marTop w:val="0"/>
      <w:marBottom w:val="0"/>
      <w:divBdr>
        <w:top w:val="none" w:sz="0" w:space="0" w:color="auto"/>
        <w:left w:val="none" w:sz="0" w:space="0" w:color="auto"/>
        <w:bottom w:val="none" w:sz="0" w:space="0" w:color="auto"/>
        <w:right w:val="none" w:sz="0" w:space="0" w:color="auto"/>
      </w:divBdr>
      <w:divsChild>
        <w:div w:id="1419525652">
          <w:marLeft w:val="0"/>
          <w:marRight w:val="0"/>
          <w:marTop w:val="0"/>
          <w:marBottom w:val="0"/>
          <w:divBdr>
            <w:top w:val="none" w:sz="0" w:space="0" w:color="auto"/>
            <w:left w:val="none" w:sz="0" w:space="0" w:color="auto"/>
            <w:bottom w:val="none" w:sz="0" w:space="0" w:color="auto"/>
            <w:right w:val="none" w:sz="0" w:space="0" w:color="auto"/>
          </w:divBdr>
        </w:div>
      </w:divsChild>
    </w:div>
    <w:div w:id="488251495">
      <w:bodyDiv w:val="1"/>
      <w:marLeft w:val="0"/>
      <w:marRight w:val="0"/>
      <w:marTop w:val="0"/>
      <w:marBottom w:val="0"/>
      <w:divBdr>
        <w:top w:val="none" w:sz="0" w:space="0" w:color="auto"/>
        <w:left w:val="none" w:sz="0" w:space="0" w:color="auto"/>
        <w:bottom w:val="none" w:sz="0" w:space="0" w:color="auto"/>
        <w:right w:val="none" w:sz="0" w:space="0" w:color="auto"/>
      </w:divBdr>
      <w:divsChild>
        <w:div w:id="1561287837">
          <w:marLeft w:val="0"/>
          <w:marRight w:val="0"/>
          <w:marTop w:val="0"/>
          <w:marBottom w:val="0"/>
          <w:divBdr>
            <w:top w:val="none" w:sz="0" w:space="0" w:color="auto"/>
            <w:left w:val="none" w:sz="0" w:space="0" w:color="auto"/>
            <w:bottom w:val="none" w:sz="0" w:space="0" w:color="auto"/>
            <w:right w:val="none" w:sz="0" w:space="0" w:color="auto"/>
          </w:divBdr>
        </w:div>
      </w:divsChild>
    </w:div>
    <w:div w:id="709458123">
      <w:bodyDiv w:val="1"/>
      <w:marLeft w:val="0"/>
      <w:marRight w:val="0"/>
      <w:marTop w:val="0"/>
      <w:marBottom w:val="0"/>
      <w:divBdr>
        <w:top w:val="none" w:sz="0" w:space="0" w:color="auto"/>
        <w:left w:val="none" w:sz="0" w:space="0" w:color="auto"/>
        <w:bottom w:val="none" w:sz="0" w:space="0" w:color="auto"/>
        <w:right w:val="none" w:sz="0" w:space="0" w:color="auto"/>
      </w:divBdr>
    </w:div>
    <w:div w:id="865950646">
      <w:bodyDiv w:val="1"/>
      <w:marLeft w:val="0"/>
      <w:marRight w:val="0"/>
      <w:marTop w:val="0"/>
      <w:marBottom w:val="0"/>
      <w:divBdr>
        <w:top w:val="none" w:sz="0" w:space="0" w:color="auto"/>
        <w:left w:val="none" w:sz="0" w:space="0" w:color="auto"/>
        <w:bottom w:val="none" w:sz="0" w:space="0" w:color="auto"/>
        <w:right w:val="none" w:sz="0" w:space="0" w:color="auto"/>
      </w:divBdr>
      <w:divsChild>
        <w:div w:id="2100444049">
          <w:marLeft w:val="0"/>
          <w:marRight w:val="0"/>
          <w:marTop w:val="0"/>
          <w:marBottom w:val="0"/>
          <w:divBdr>
            <w:top w:val="none" w:sz="0" w:space="0" w:color="auto"/>
            <w:left w:val="none" w:sz="0" w:space="0" w:color="auto"/>
            <w:bottom w:val="none" w:sz="0" w:space="0" w:color="auto"/>
            <w:right w:val="none" w:sz="0" w:space="0" w:color="auto"/>
          </w:divBdr>
        </w:div>
      </w:divsChild>
    </w:div>
    <w:div w:id="995761586">
      <w:bodyDiv w:val="1"/>
      <w:marLeft w:val="0"/>
      <w:marRight w:val="0"/>
      <w:marTop w:val="0"/>
      <w:marBottom w:val="0"/>
      <w:divBdr>
        <w:top w:val="none" w:sz="0" w:space="0" w:color="auto"/>
        <w:left w:val="none" w:sz="0" w:space="0" w:color="auto"/>
        <w:bottom w:val="none" w:sz="0" w:space="0" w:color="auto"/>
        <w:right w:val="none" w:sz="0" w:space="0" w:color="auto"/>
      </w:divBdr>
    </w:div>
    <w:div w:id="1054736532">
      <w:bodyDiv w:val="1"/>
      <w:marLeft w:val="0"/>
      <w:marRight w:val="0"/>
      <w:marTop w:val="0"/>
      <w:marBottom w:val="0"/>
      <w:divBdr>
        <w:top w:val="none" w:sz="0" w:space="0" w:color="auto"/>
        <w:left w:val="none" w:sz="0" w:space="0" w:color="auto"/>
        <w:bottom w:val="none" w:sz="0" w:space="0" w:color="auto"/>
        <w:right w:val="none" w:sz="0" w:space="0" w:color="auto"/>
      </w:divBdr>
      <w:divsChild>
        <w:div w:id="607468747">
          <w:marLeft w:val="0"/>
          <w:marRight w:val="0"/>
          <w:marTop w:val="0"/>
          <w:marBottom w:val="0"/>
          <w:divBdr>
            <w:top w:val="none" w:sz="0" w:space="0" w:color="auto"/>
            <w:left w:val="none" w:sz="0" w:space="0" w:color="auto"/>
            <w:bottom w:val="none" w:sz="0" w:space="0" w:color="auto"/>
            <w:right w:val="none" w:sz="0" w:space="0" w:color="auto"/>
          </w:divBdr>
        </w:div>
      </w:divsChild>
    </w:div>
    <w:div w:id="1489789166">
      <w:bodyDiv w:val="1"/>
      <w:marLeft w:val="0"/>
      <w:marRight w:val="0"/>
      <w:marTop w:val="0"/>
      <w:marBottom w:val="0"/>
      <w:divBdr>
        <w:top w:val="none" w:sz="0" w:space="0" w:color="auto"/>
        <w:left w:val="none" w:sz="0" w:space="0" w:color="auto"/>
        <w:bottom w:val="none" w:sz="0" w:space="0" w:color="auto"/>
        <w:right w:val="none" w:sz="0" w:space="0" w:color="auto"/>
      </w:divBdr>
      <w:divsChild>
        <w:div w:id="1159537702">
          <w:marLeft w:val="0"/>
          <w:marRight w:val="0"/>
          <w:marTop w:val="0"/>
          <w:marBottom w:val="0"/>
          <w:divBdr>
            <w:top w:val="none" w:sz="0" w:space="0" w:color="auto"/>
            <w:left w:val="none" w:sz="0" w:space="0" w:color="auto"/>
            <w:bottom w:val="none" w:sz="0" w:space="0" w:color="auto"/>
            <w:right w:val="none" w:sz="0" w:space="0" w:color="auto"/>
          </w:divBdr>
        </w:div>
      </w:divsChild>
    </w:div>
    <w:div w:id="1641153762">
      <w:bodyDiv w:val="1"/>
      <w:marLeft w:val="0"/>
      <w:marRight w:val="0"/>
      <w:marTop w:val="0"/>
      <w:marBottom w:val="0"/>
      <w:divBdr>
        <w:top w:val="none" w:sz="0" w:space="0" w:color="auto"/>
        <w:left w:val="none" w:sz="0" w:space="0" w:color="auto"/>
        <w:bottom w:val="none" w:sz="0" w:space="0" w:color="auto"/>
        <w:right w:val="none" w:sz="0" w:space="0" w:color="auto"/>
      </w:divBdr>
      <w:divsChild>
        <w:div w:id="156728761">
          <w:marLeft w:val="0"/>
          <w:marRight w:val="0"/>
          <w:marTop w:val="0"/>
          <w:marBottom w:val="0"/>
          <w:divBdr>
            <w:top w:val="none" w:sz="0" w:space="0" w:color="auto"/>
            <w:left w:val="none" w:sz="0" w:space="0" w:color="auto"/>
            <w:bottom w:val="none" w:sz="0" w:space="0" w:color="auto"/>
            <w:right w:val="none" w:sz="0" w:space="0" w:color="auto"/>
          </w:divBdr>
        </w:div>
      </w:divsChild>
    </w:div>
    <w:div w:id="1830751046">
      <w:bodyDiv w:val="1"/>
      <w:marLeft w:val="0"/>
      <w:marRight w:val="0"/>
      <w:marTop w:val="0"/>
      <w:marBottom w:val="0"/>
      <w:divBdr>
        <w:top w:val="none" w:sz="0" w:space="0" w:color="auto"/>
        <w:left w:val="none" w:sz="0" w:space="0" w:color="auto"/>
        <w:bottom w:val="none" w:sz="0" w:space="0" w:color="auto"/>
        <w:right w:val="none" w:sz="0" w:space="0" w:color="auto"/>
      </w:divBdr>
      <w:divsChild>
        <w:div w:id="800194796">
          <w:marLeft w:val="0"/>
          <w:marRight w:val="0"/>
          <w:marTop w:val="0"/>
          <w:marBottom w:val="0"/>
          <w:divBdr>
            <w:top w:val="none" w:sz="0" w:space="0" w:color="auto"/>
            <w:left w:val="none" w:sz="0" w:space="0" w:color="auto"/>
            <w:bottom w:val="none" w:sz="0" w:space="0" w:color="auto"/>
            <w:right w:val="none" w:sz="0" w:space="0" w:color="auto"/>
          </w:divBdr>
        </w:div>
      </w:divsChild>
    </w:div>
    <w:div w:id="1949509165">
      <w:bodyDiv w:val="1"/>
      <w:marLeft w:val="0"/>
      <w:marRight w:val="0"/>
      <w:marTop w:val="0"/>
      <w:marBottom w:val="0"/>
      <w:divBdr>
        <w:top w:val="none" w:sz="0" w:space="0" w:color="auto"/>
        <w:left w:val="none" w:sz="0" w:space="0" w:color="auto"/>
        <w:bottom w:val="none" w:sz="0" w:space="0" w:color="auto"/>
        <w:right w:val="none" w:sz="0" w:space="0" w:color="auto"/>
      </w:divBdr>
      <w:divsChild>
        <w:div w:id="180692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eb.zpr.fer.hr/ergonomija/2004/hendija/slike/grb_zg.gi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33E8-04BD-4E93-99DC-AAB8FCA4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Kristina Vukadin</cp:lastModifiedBy>
  <cp:revision>3</cp:revision>
  <cp:lastPrinted>2017-06-27T11:25:00Z</cp:lastPrinted>
  <dcterms:created xsi:type="dcterms:W3CDTF">2017-08-10T07:34:00Z</dcterms:created>
  <dcterms:modified xsi:type="dcterms:W3CDTF">2017-08-10T07:35:00Z</dcterms:modified>
</cp:coreProperties>
</file>